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val="0"/>
        <w:wordWrap/>
        <w:topLinePunct w:val="0"/>
        <w:autoSpaceDE/>
        <w:autoSpaceDN/>
        <w:bidi w:val="0"/>
        <w:spacing w:line="440" w:lineRule="exact"/>
        <w:ind w:right="0" w:rightChars="0"/>
        <w:jc w:val="center"/>
        <w:outlineLvl w:val="9"/>
        <w:rPr>
          <w:rFonts w:ascii="仿宋" w:hAnsi="仿宋" w:eastAsia="仿宋" w:cs="Arial"/>
          <w:b/>
          <w:color w:val="000000" w:themeColor="text1"/>
          <w:sz w:val="32"/>
          <w:szCs w:val="36"/>
          <w14:textFill>
            <w14:solidFill>
              <w14:schemeClr w14:val="tx1"/>
            </w14:solidFill>
          </w14:textFill>
        </w:rPr>
      </w:pPr>
      <w:r>
        <w:rPr>
          <w:rFonts w:hint="eastAsia" w:ascii="仿宋" w:hAnsi="仿宋" w:eastAsia="仿宋" w:cs="Arial"/>
          <w:b/>
          <w:color w:val="000000" w:themeColor="text1"/>
          <w:sz w:val="32"/>
          <w:szCs w:val="36"/>
          <w14:textFill>
            <w14:solidFill>
              <w14:schemeClr w14:val="tx1"/>
            </w14:solidFill>
          </w14:textFill>
        </w:rPr>
        <w:t>20</w:t>
      </w:r>
      <w:r>
        <w:rPr>
          <w:rFonts w:hint="eastAsia" w:ascii="仿宋" w:hAnsi="仿宋" w:eastAsia="仿宋" w:cs="Arial"/>
          <w:b/>
          <w:color w:val="000000" w:themeColor="text1"/>
          <w:sz w:val="32"/>
          <w:szCs w:val="36"/>
          <w:lang w:val="en-US" w:eastAsia="zh-CN"/>
          <w14:textFill>
            <w14:solidFill>
              <w14:schemeClr w14:val="tx1"/>
            </w14:solidFill>
          </w14:textFill>
        </w:rPr>
        <w:t>10</w:t>
      </w:r>
      <w:r>
        <w:rPr>
          <w:rFonts w:hint="eastAsia" w:ascii="仿宋" w:hAnsi="仿宋" w:eastAsia="仿宋" w:cs="Arial"/>
          <w:b/>
          <w:color w:val="000000" w:themeColor="text1"/>
          <w:sz w:val="32"/>
          <w:szCs w:val="36"/>
          <w14:textFill>
            <w14:solidFill>
              <w14:schemeClr w14:val="tx1"/>
            </w14:solidFill>
          </w14:textFill>
        </w:rPr>
        <w:t>年</w:t>
      </w:r>
      <w:r>
        <w:rPr>
          <w:rFonts w:ascii="仿宋" w:hAnsi="仿宋" w:eastAsia="仿宋" w:cs="Arial"/>
          <w:b/>
          <w:color w:val="000000" w:themeColor="text1"/>
          <w:sz w:val="32"/>
          <w:szCs w:val="36"/>
          <w14:textFill>
            <w14:solidFill>
              <w14:schemeClr w14:val="tx1"/>
            </w14:solidFill>
          </w14:textFill>
        </w:rPr>
        <w:t>广州致仪计算机软件科技有限公司</w:t>
      </w:r>
    </w:p>
    <w:p>
      <w:pPr>
        <w:keepNext w:val="0"/>
        <w:keepLines w:val="0"/>
        <w:pageBreakBefore w:val="0"/>
        <w:widowControl w:val="0"/>
        <w:kinsoku w:val="0"/>
        <w:wordWrap/>
        <w:topLinePunct w:val="0"/>
        <w:autoSpaceDE/>
        <w:autoSpaceDN/>
        <w:bidi w:val="0"/>
        <w:spacing w:line="440" w:lineRule="exact"/>
        <w:ind w:right="0" w:rightChars="0"/>
        <w:jc w:val="center"/>
        <w:outlineLvl w:val="9"/>
        <w:rPr>
          <w:rFonts w:ascii="仿宋" w:hAnsi="仿宋" w:eastAsia="仿宋" w:cs="Arial"/>
          <w:b/>
          <w:color w:val="000000" w:themeColor="text1"/>
          <w:sz w:val="32"/>
          <w:szCs w:val="36"/>
          <w14:textFill>
            <w14:solidFill>
              <w14:schemeClr w14:val="tx1"/>
            </w14:solidFill>
          </w14:textFill>
        </w:rPr>
      </w:pPr>
      <w:r>
        <w:rPr>
          <w:rFonts w:hint="eastAsia" w:ascii="黑体" w:hAnsi="黑体" w:eastAsia="黑体"/>
          <w:sz w:val="32"/>
          <w:szCs w:val="32"/>
        </w:rPr>
        <w:t>吉林省教育厅</w:t>
      </w:r>
      <w:r>
        <w:rPr>
          <w:rFonts w:ascii="仿宋" w:hAnsi="仿宋" w:eastAsia="仿宋" w:cs="Arial"/>
          <w:b/>
          <w:color w:val="000000" w:themeColor="text1"/>
          <w:sz w:val="32"/>
          <w:szCs w:val="36"/>
          <w14:textFill>
            <w14:solidFill>
              <w14:schemeClr w14:val="tx1"/>
            </w14:solidFill>
          </w14:textFill>
        </w:rPr>
        <w:t>产学合作协同育人项目申报指南</w:t>
      </w:r>
    </w:p>
    <w:p>
      <w:pPr>
        <w:keepNext w:val="0"/>
        <w:keepLines w:val="0"/>
        <w:pageBreakBefore w:val="0"/>
        <w:widowControl w:val="0"/>
        <w:kinsoku w:val="0"/>
        <w:wordWrap/>
        <w:topLinePunct w:val="0"/>
        <w:autoSpaceDE/>
        <w:autoSpaceDN/>
        <w:bidi w:val="0"/>
        <w:spacing w:line="440" w:lineRule="exact"/>
        <w:ind w:right="0" w:rightChars="0"/>
        <w:jc w:val="center"/>
        <w:outlineLvl w:val="9"/>
        <w:rPr>
          <w:rFonts w:ascii="仿宋" w:hAnsi="仿宋" w:eastAsia="仿宋" w:cs="Arial"/>
          <w:b/>
          <w:color w:val="000000" w:themeColor="text1"/>
          <w:sz w:val="24"/>
          <w:szCs w:val="28"/>
          <w14:textFill>
            <w14:solidFill>
              <w14:schemeClr w14:val="tx1"/>
            </w14:solidFill>
          </w14:textFill>
        </w:rPr>
      </w:pPr>
    </w:p>
    <w:p>
      <w:pPr>
        <w:pStyle w:val="12"/>
        <w:keepNext w:val="0"/>
        <w:keepLines w:val="0"/>
        <w:pageBreakBefore w:val="0"/>
        <w:widowControl w:val="0"/>
        <w:kinsoku w:val="0"/>
        <w:wordWrap/>
        <w:overflowPunct w:val="0"/>
        <w:topLinePunct w:val="0"/>
        <w:autoSpaceDE/>
        <w:autoSpaceDN/>
        <w:bidi w:val="0"/>
        <w:snapToGrid w:val="0"/>
        <w:spacing w:line="440" w:lineRule="exact"/>
        <w:ind w:right="0" w:rightChars="0" w:firstLine="420"/>
        <w:textAlignment w:val="top"/>
        <w:outlineLvl w:val="9"/>
        <w:rPr>
          <w:rFonts w:ascii="仿宋" w:hAnsi="仿宋" w:eastAsia="仿宋" w:cs="Arial"/>
          <w:color w:val="000000" w:themeColor="text1"/>
          <w:sz w:val="24"/>
          <w:szCs w:val="28"/>
          <w14:textFill>
            <w14:solidFill>
              <w14:schemeClr w14:val="tx1"/>
            </w14:solidFill>
          </w14:textFill>
        </w:rPr>
      </w:pPr>
      <w:r>
        <w:rPr>
          <w:rFonts w:hint="eastAsia" w:ascii="仿宋" w:hAnsi="仿宋" w:eastAsia="仿宋" w:cs="Arial"/>
          <w:color w:val="000000" w:themeColor="text1"/>
          <w:sz w:val="24"/>
          <w:szCs w:val="28"/>
          <w14:textFill>
            <w14:solidFill>
              <w14:schemeClr w14:val="tx1"/>
            </w14:solidFill>
          </w14:textFill>
        </w:rPr>
        <w:t>2</w:t>
      </w:r>
      <w:r>
        <w:rPr>
          <w:rFonts w:hint="eastAsia" w:ascii="仿宋" w:hAnsi="仿宋" w:eastAsia="仿宋" w:cs="Arial"/>
          <w:color w:val="000000" w:themeColor="text1"/>
          <w:sz w:val="24"/>
          <w:szCs w:val="28"/>
          <w:lang w:val="en-US" w:eastAsia="zh-CN"/>
          <w14:textFill>
            <w14:solidFill>
              <w14:schemeClr w14:val="tx1"/>
            </w14:solidFill>
          </w14:textFill>
        </w:rPr>
        <w:t>2</w:t>
      </w:r>
      <w:r>
        <w:rPr>
          <w:rFonts w:hint="eastAsia" w:ascii="仿宋" w:hAnsi="仿宋" w:eastAsia="仿宋" w:cs="Arial"/>
          <w:color w:val="000000" w:themeColor="text1"/>
          <w:sz w:val="24"/>
          <w:szCs w:val="28"/>
          <w14:textFill>
            <w14:solidFill>
              <w14:schemeClr w14:val="tx1"/>
            </w14:solidFill>
          </w14:textFill>
        </w:rPr>
        <w:t>1</w:t>
      </w:r>
      <w:r>
        <w:rPr>
          <w:rFonts w:hint="eastAsia" w:ascii="仿宋" w:hAnsi="仿宋" w:eastAsia="仿宋" w:cs="Arial"/>
          <w:color w:val="000000" w:themeColor="text1"/>
          <w:sz w:val="24"/>
          <w:szCs w:val="28"/>
          <w:lang w:val="en-US" w:eastAsia="zh-CN"/>
          <w14:textFill>
            <w14:solidFill>
              <w14:schemeClr w14:val="tx1"/>
            </w14:solidFill>
          </w14:textFill>
        </w:rPr>
        <w:t>0</w:t>
      </w:r>
      <w:r>
        <w:rPr>
          <w:rFonts w:hint="eastAsia" w:ascii="仿宋" w:hAnsi="仿宋" w:eastAsia="仿宋" w:cs="Arial"/>
          <w:color w:val="000000" w:themeColor="text1"/>
          <w:sz w:val="24"/>
          <w:szCs w:val="28"/>
          <w14:textFill>
            <w14:solidFill>
              <w14:schemeClr w14:val="tx1"/>
            </w14:solidFill>
          </w14:textFill>
        </w:rPr>
        <w:t>年，广州致仪计算机软件科技有限公司拟在“课程体系及在线资源建设”、“共享财务中心学科及实践基地建设”、“云财务管理会计”、“会计职称助考”、等几个方向</w:t>
      </w:r>
      <w:r>
        <w:rPr>
          <w:rFonts w:ascii="仿宋" w:hAnsi="仿宋" w:eastAsia="仿宋" w:cs="Arial"/>
          <w:color w:val="000000" w:themeColor="text1"/>
          <w:sz w:val="24"/>
          <w:szCs w:val="28"/>
          <w14:textFill>
            <w14:solidFill>
              <w14:schemeClr w14:val="tx1"/>
            </w14:solidFill>
          </w14:textFill>
        </w:rPr>
        <w:t>设立专项资金和资源，联合有志于教育教学改革的高校，共同制定并推进适应“</w:t>
      </w:r>
      <w:r>
        <w:rPr>
          <w:rFonts w:hint="eastAsia" w:ascii="仿宋" w:hAnsi="仿宋" w:eastAsia="仿宋" w:cs="Arial"/>
          <w:color w:val="000000" w:themeColor="text1"/>
          <w:sz w:val="24"/>
          <w:szCs w:val="28"/>
          <w:lang w:eastAsia="zh-CN"/>
          <w14:textFill>
            <w14:solidFill>
              <w14:schemeClr w14:val="tx1"/>
            </w14:solidFill>
          </w14:textFill>
        </w:rPr>
        <w:t>易财经</w:t>
      </w:r>
      <w:r>
        <w:rPr>
          <w:rFonts w:ascii="仿宋" w:hAnsi="仿宋" w:eastAsia="仿宋" w:cs="Arial"/>
          <w:color w:val="000000" w:themeColor="text1"/>
          <w:sz w:val="24"/>
          <w:szCs w:val="28"/>
          <w14:textFill>
            <w14:solidFill>
              <w14:schemeClr w14:val="tx1"/>
            </w14:solidFill>
          </w14:textFill>
        </w:rPr>
        <w:t>资源共享管理平台”的互联网+教学综合改革方案。</w:t>
      </w:r>
    </w:p>
    <w:p>
      <w:pPr>
        <w:pStyle w:val="12"/>
        <w:keepNext w:val="0"/>
        <w:keepLines w:val="0"/>
        <w:pageBreakBefore w:val="0"/>
        <w:widowControl w:val="0"/>
        <w:kinsoku w:val="0"/>
        <w:wordWrap/>
        <w:overflowPunct w:val="0"/>
        <w:topLinePunct w:val="0"/>
        <w:autoSpaceDE/>
        <w:autoSpaceDN/>
        <w:bidi w:val="0"/>
        <w:snapToGrid w:val="0"/>
        <w:spacing w:line="440" w:lineRule="exact"/>
        <w:ind w:right="0" w:rightChars="0" w:firstLine="480"/>
        <w:textAlignment w:val="top"/>
        <w:outlineLvl w:val="9"/>
        <w:rPr>
          <w:rFonts w:ascii="仿宋" w:hAnsi="仿宋" w:eastAsia="仿宋" w:cs="Arial"/>
          <w:color w:val="000000" w:themeColor="text1"/>
          <w:sz w:val="24"/>
          <w:szCs w:val="28"/>
          <w14:textFill>
            <w14:solidFill>
              <w14:schemeClr w14:val="tx1"/>
            </w14:solidFill>
          </w14:textFill>
        </w:rPr>
      </w:pPr>
      <w:r>
        <w:rPr>
          <w:rFonts w:hint="eastAsia" w:ascii="仿宋" w:hAnsi="仿宋" w:eastAsia="仿宋" w:cs="Arial"/>
          <w:color w:val="000000" w:themeColor="text1"/>
          <w:sz w:val="24"/>
          <w:szCs w:val="28"/>
          <w14:textFill>
            <w14:solidFill>
              <w14:schemeClr w14:val="tx1"/>
            </w14:solidFill>
          </w14:textFill>
        </w:rPr>
        <w:t>有关具体描述和申报指南如下：</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0"/>
        <w:textAlignment w:val="top"/>
        <w:outlineLvl w:val="9"/>
        <w:rPr>
          <w:rFonts w:ascii="sans-serif" w:hAnsi="sans-serif" w:eastAsia="sans-serif" w:cs="sans-serif"/>
          <w:i w:val="0"/>
          <w:caps w:val="0"/>
          <w:color w:val="000000" w:themeColor="text1"/>
          <w:spacing w:val="0"/>
          <w:sz w:val="22"/>
          <w:szCs w:val="22"/>
          <w14:textFill>
            <w14:solidFill>
              <w14:schemeClr w14:val="tx1"/>
            </w14:solidFill>
          </w14:textFill>
        </w:rPr>
      </w:pPr>
      <w:r>
        <w:rPr>
          <w:rStyle w:val="10"/>
          <w:rFonts w:ascii="仿宋" w:hAnsi="仿宋" w:eastAsia="仿宋" w:cs="仿宋"/>
          <w:i w:val="0"/>
          <w:caps w:val="0"/>
          <w:color w:val="000000" w:themeColor="text1"/>
          <w:spacing w:val="0"/>
          <w:sz w:val="24"/>
          <w:szCs w:val="24"/>
          <w14:textFill>
            <w14:solidFill>
              <w14:schemeClr w14:val="tx1"/>
            </w14:solidFill>
          </w14:textFill>
        </w:rPr>
        <w:t>一、</w:t>
      </w:r>
      <w:r>
        <w:rPr>
          <w:rStyle w:val="10"/>
          <w:rFonts w:hint="eastAsia" w:ascii="仿宋" w:hAnsi="仿宋" w:eastAsia="仿宋" w:cs="仿宋"/>
          <w:i w:val="0"/>
          <w:caps w:val="0"/>
          <w:color w:val="000000" w:themeColor="text1"/>
          <w:spacing w:val="0"/>
          <w:sz w:val="24"/>
          <w:szCs w:val="24"/>
          <w14:textFill>
            <w14:solidFill>
              <w14:schemeClr w14:val="tx1"/>
            </w14:solidFill>
          </w14:textFill>
        </w:rPr>
        <w:t>建设目标</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在教育</w:t>
      </w:r>
      <w:r>
        <w:rPr>
          <w:rFonts w:hint="eastAsia" w:ascii="仿宋" w:hAnsi="仿宋" w:eastAsia="仿宋" w:cs="仿宋"/>
          <w:i w:val="0"/>
          <w:caps w:val="0"/>
          <w:color w:val="000000" w:themeColor="text1"/>
          <w:spacing w:val="0"/>
          <w:sz w:val="24"/>
          <w:szCs w:val="24"/>
          <w:lang w:eastAsia="zh-CN"/>
          <w14:textFill>
            <w14:solidFill>
              <w14:schemeClr w14:val="tx1"/>
            </w14:solidFill>
          </w14:textFill>
        </w:rPr>
        <w:t>厅</w:t>
      </w:r>
      <w:r>
        <w:rPr>
          <w:rFonts w:hint="eastAsia" w:ascii="仿宋" w:hAnsi="仿宋" w:eastAsia="仿宋" w:cs="仿宋"/>
          <w:i w:val="0"/>
          <w:caps w:val="0"/>
          <w:color w:val="000000" w:themeColor="text1"/>
          <w:spacing w:val="0"/>
          <w:sz w:val="24"/>
          <w:szCs w:val="24"/>
          <w14:textFill>
            <w14:solidFill>
              <w14:schemeClr w14:val="tx1"/>
            </w14:solidFill>
          </w14:textFill>
        </w:rPr>
        <w:t>指导下，开展产学合作协同育人项目，包括</w:t>
      </w:r>
      <w:r>
        <w:rPr>
          <w:rStyle w:val="10"/>
          <w:rFonts w:hint="eastAsia" w:ascii="仿宋" w:hAnsi="仿宋" w:eastAsia="仿宋" w:cs="仿宋"/>
          <w:i w:val="0"/>
          <w:caps w:val="0"/>
          <w:color w:val="000000" w:themeColor="text1"/>
          <w:spacing w:val="0"/>
          <w:sz w:val="24"/>
          <w:szCs w:val="24"/>
          <w14:textFill>
            <w14:solidFill>
              <w14:schemeClr w14:val="tx1"/>
            </w14:solidFill>
          </w14:textFill>
        </w:rPr>
        <w:t>教学内容和课程体系改革项目、师资培训项目、实践条件和实践基地建设项目</w:t>
      </w:r>
      <w:r>
        <w:rPr>
          <w:rStyle w:val="10"/>
          <w:rFonts w:hint="eastAsia" w:ascii="仿宋" w:hAnsi="仿宋" w:eastAsia="仿宋" w:cs="仿宋"/>
          <w:i w:val="0"/>
          <w:caps w:val="0"/>
          <w:color w:val="000000" w:themeColor="text1"/>
          <w:spacing w:val="0"/>
          <w:sz w:val="24"/>
          <w:szCs w:val="24"/>
          <w:lang w:val="en-US" w:eastAsia="zh-CN"/>
          <w14:textFill>
            <w14:solidFill>
              <w14:schemeClr w14:val="tx1"/>
            </w14:solidFill>
          </w14:textFill>
        </w:rPr>
        <w:t>3</w:t>
      </w:r>
      <w:r>
        <w:rPr>
          <w:rFonts w:hint="eastAsia" w:ascii="仿宋" w:hAnsi="仿宋" w:eastAsia="仿宋" w:cs="仿宋"/>
          <w:i w:val="0"/>
          <w:caps w:val="0"/>
          <w:color w:val="000000" w:themeColor="text1"/>
          <w:spacing w:val="0"/>
          <w:sz w:val="24"/>
          <w:szCs w:val="24"/>
          <w14:textFill>
            <w14:solidFill>
              <w14:schemeClr w14:val="tx1"/>
            </w14:solidFill>
          </w14:textFill>
        </w:rPr>
        <w:t>大类。</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jc w:val="both"/>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教学内容和课程体系改革项目，支持开发以“</w:t>
      </w:r>
      <w:r>
        <w:rPr>
          <w:rFonts w:hint="eastAsia" w:ascii="仿宋" w:hAnsi="仿宋" w:eastAsia="仿宋" w:cs="仿宋"/>
          <w:i w:val="0"/>
          <w:caps w:val="0"/>
          <w:color w:val="000000" w:themeColor="text1"/>
          <w:spacing w:val="0"/>
          <w:sz w:val="24"/>
          <w:szCs w:val="24"/>
          <w:lang w:eastAsia="zh-CN"/>
          <w14:textFill>
            <w14:solidFill>
              <w14:schemeClr w14:val="tx1"/>
            </w14:solidFill>
          </w14:textFill>
        </w:rPr>
        <w:t>易财经</w:t>
      </w:r>
      <w:r>
        <w:rPr>
          <w:rFonts w:hint="eastAsia" w:ascii="仿宋" w:hAnsi="仿宋" w:eastAsia="仿宋" w:cs="仿宋"/>
          <w:i w:val="0"/>
          <w:caps w:val="0"/>
          <w:color w:val="000000" w:themeColor="text1"/>
          <w:spacing w:val="0"/>
          <w:sz w:val="24"/>
          <w:szCs w:val="24"/>
          <w14:textFill>
            <w14:solidFill>
              <w14:schemeClr w14:val="tx1"/>
            </w14:solidFill>
          </w14:textFill>
        </w:rPr>
        <w:t>资源共享管理平台”作为教学改革的有效途径，着力打造一批高水平、创新型、可共享的移动信息化教学新型课程及课程资源。</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师资培训项目，联合新型学科专业的课程组及业界权威，共建师资培训项目，其他学校参与培训。同时接受教师到本公司参与“业-财-税-法”的四务协同实训平台设计、智能财税竞赛项目的研发设计。</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实践基地建设项目，合作建设基于新产业，新技术所需的应用型创新人才为目标，支持高校在校内建立专业实践基地或研究中心。根据实际业务场景构建教育体系、实训体系和实习环境，引入当地企业作为校外实践基地。协助高校进行学科建设、具备承接课题乃至接受社会咨询服务的能力。构建功能集中、资源共享、开放充分、运作高效的专业类或跨专业类实践教学基地。</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right="0" w:rightChars="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default" w:ascii="sans-serif" w:hAnsi="sans-serif" w:eastAsia="sans-serif" w:cs="sans-serif"/>
          <w:i w:val="0"/>
          <w:caps w:val="0"/>
          <w:color w:val="000000" w:themeColor="text1"/>
          <w:spacing w:val="0"/>
          <w:sz w:val="22"/>
          <w:szCs w:val="22"/>
          <w14:textFill>
            <w14:solidFill>
              <w14:schemeClr w14:val="tx1"/>
            </w14:solidFill>
          </w14:textFill>
        </w:rPr>
        <w:t> </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二、教学内容和课程体系改革项目</w:t>
      </w:r>
    </w:p>
    <w:p>
      <w:pPr>
        <w:pStyle w:val="7"/>
        <w:keepNext w:val="0"/>
        <w:keepLines w:val="0"/>
        <w:pageBreakBefore w:val="0"/>
        <w:widowControl w:val="0"/>
        <w:suppressLineNumbers w:val="0"/>
        <w:kinsoku w:val="0"/>
        <w:wordWrap/>
        <w:topLinePunct w:val="0"/>
        <w:autoSpaceDE/>
        <w:autoSpaceDN/>
        <w:bidi w:val="0"/>
        <w:spacing w:beforeAutospacing="0" w:afterAutospacing="0" w:line="555" w:lineRule="atLeast"/>
        <w:ind w:left="0" w:right="0" w:rightChars="0" w:firstLine="555"/>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1、项目内容：</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拟设立</w:t>
      </w:r>
      <w:r>
        <w:rPr>
          <w:rFonts w:hint="eastAsia" w:ascii="仿宋" w:hAnsi="仿宋" w:eastAsia="仿宋" w:cs="仿宋"/>
          <w:i w:val="0"/>
          <w:caps w:val="0"/>
          <w:color w:val="000000" w:themeColor="text1"/>
          <w:spacing w:val="0"/>
          <w:sz w:val="24"/>
          <w:szCs w:val="24"/>
          <w:lang w:val="en-US" w:eastAsia="zh-CN"/>
          <w14:textFill>
            <w14:solidFill>
              <w14:schemeClr w14:val="tx1"/>
            </w14:solidFill>
          </w14:textFill>
        </w:rPr>
        <w:t>7</w:t>
      </w:r>
      <w:r>
        <w:rPr>
          <w:rFonts w:hint="eastAsia" w:ascii="仿宋" w:hAnsi="仿宋" w:eastAsia="仿宋" w:cs="仿宋"/>
          <w:i w:val="0"/>
          <w:caps w:val="0"/>
          <w:color w:val="000000" w:themeColor="text1"/>
          <w:spacing w:val="0"/>
          <w:sz w:val="24"/>
          <w:szCs w:val="24"/>
          <w14:textFill>
            <w14:solidFill>
              <w14:schemeClr w14:val="tx1"/>
            </w14:solidFill>
          </w14:textFill>
        </w:rPr>
        <w:t>个项目。着力打造一批高水平、创新型的移动信息化教学新型课程资源群，推广于全国各大高校。通过推动教学模式改革，整合专业各环节的教学资源，研发面向高校及社会的课程资源，协助院校完成线上线下教学深度融合；推进用户学习移动化、实训实习网络化、作业考试智能化、教学内容智能化，教学形式多样化，全面提升专业人才培养质量。</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2、申报条件：</w:t>
      </w:r>
    </w:p>
    <w:p>
      <w:pPr>
        <w:pStyle w:val="7"/>
        <w:keepNext w:val="0"/>
        <w:keepLines w:val="0"/>
        <w:pageBreakBefore w:val="0"/>
        <w:widowControl w:val="0"/>
        <w:suppressLineNumbers w:val="0"/>
        <w:kinsoku w:val="0"/>
        <w:wordWrap/>
        <w:topLinePunct w:val="0"/>
        <w:autoSpaceDE/>
        <w:autoSpaceDN/>
        <w:bidi w:val="0"/>
        <w:spacing w:beforeAutospacing="0" w:afterAutospacing="0" w:line="555" w:lineRule="atLeast"/>
        <w:ind w:left="0" w:right="0" w:rightChars="0" w:firstLine="555"/>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2.1、示范课程建设项目</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成果须满足国家级精品课程建设要求，同时包含课程内容和典型教学案例两部分，形成完整的项目建设内容。申报课程应以现有课程为基础，要求该课程至少已开设2年以上。原则上不接受之前没有开课基础的课程申报；申报课程学时安排应不少于32学时，平均每年开课次数不少于一次。同等条件下，优先考虑受益面大的课程申报。</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3、建设要求：</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利用广州致仪</w:t>
      </w:r>
      <w:r>
        <w:rPr>
          <w:rFonts w:hint="eastAsia" w:ascii="仿宋" w:hAnsi="仿宋" w:eastAsia="仿宋" w:cs="仿宋"/>
          <w:i w:val="0"/>
          <w:caps w:val="0"/>
          <w:color w:val="000000" w:themeColor="text1"/>
          <w:spacing w:val="0"/>
          <w:sz w:val="24"/>
          <w:szCs w:val="24"/>
          <w:lang w:eastAsia="zh-CN"/>
          <w14:textFill>
            <w14:solidFill>
              <w14:schemeClr w14:val="tx1"/>
            </w14:solidFill>
          </w14:textFill>
        </w:rPr>
        <w:t>易财经</w:t>
      </w:r>
      <w:r>
        <w:rPr>
          <w:rFonts w:hint="eastAsia" w:ascii="仿宋" w:hAnsi="仿宋" w:eastAsia="仿宋" w:cs="仿宋"/>
          <w:i w:val="0"/>
          <w:caps w:val="0"/>
          <w:color w:val="000000" w:themeColor="text1"/>
          <w:spacing w:val="0"/>
          <w:sz w:val="24"/>
          <w:szCs w:val="24"/>
          <w14:textFill>
            <w14:solidFill>
              <w14:schemeClr w14:val="tx1"/>
            </w14:solidFill>
          </w14:textFill>
        </w:rPr>
        <w:t>教学资源管理平台进行教学内容和课程体系改革，拟立以下几个课题方向，申报人可以选择以下课题或其它课题申报：</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120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1) 基于致仪“财务共享中心-实施方法论系列课程”</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120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lang w:val="en-US" w:eastAsia="zh-CN"/>
          <w14:textFill>
            <w14:solidFill>
              <w14:schemeClr w14:val="tx1"/>
            </w14:solidFill>
          </w14:textFill>
        </w:rPr>
        <w:t>2</w:t>
      </w:r>
      <w:r>
        <w:rPr>
          <w:rFonts w:hint="eastAsia" w:ascii="仿宋" w:hAnsi="仿宋" w:eastAsia="仿宋" w:cs="仿宋"/>
          <w:i w:val="0"/>
          <w:caps w:val="0"/>
          <w:color w:val="000000" w:themeColor="text1"/>
          <w:spacing w:val="0"/>
          <w:sz w:val="24"/>
          <w:szCs w:val="24"/>
          <w14:textFill>
            <w14:solidFill>
              <w14:schemeClr w14:val="tx1"/>
            </w14:solidFill>
          </w14:textFill>
        </w:rPr>
        <w:t>) 基于致仪“财务共享中心-管理会计框架系列课程”</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120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lang w:val="en-US" w:eastAsia="zh-CN"/>
          <w14:textFill>
            <w14:solidFill>
              <w14:schemeClr w14:val="tx1"/>
            </w14:solidFill>
          </w14:textFill>
        </w:rPr>
        <w:t>3</w:t>
      </w:r>
      <w:r>
        <w:rPr>
          <w:rFonts w:hint="eastAsia" w:ascii="仿宋" w:hAnsi="仿宋" w:eastAsia="仿宋" w:cs="仿宋"/>
          <w:i w:val="0"/>
          <w:caps w:val="0"/>
          <w:color w:val="000000" w:themeColor="text1"/>
          <w:spacing w:val="0"/>
          <w:sz w:val="24"/>
          <w:szCs w:val="24"/>
          <w14:textFill>
            <w14:solidFill>
              <w14:schemeClr w14:val="tx1"/>
            </w14:solidFill>
          </w14:textFill>
        </w:rPr>
        <w:t>) 基于会计</w:t>
      </w:r>
      <w:r>
        <w:rPr>
          <w:rFonts w:hint="eastAsia" w:ascii="仿宋" w:hAnsi="仿宋" w:eastAsia="仿宋" w:cs="仿宋"/>
          <w:i w:val="0"/>
          <w:caps w:val="0"/>
          <w:color w:val="000000" w:themeColor="text1"/>
          <w:spacing w:val="0"/>
          <w:sz w:val="24"/>
          <w:szCs w:val="24"/>
          <w:lang w:eastAsia="zh-CN"/>
          <w14:textFill>
            <w14:solidFill>
              <w14:schemeClr w14:val="tx1"/>
            </w14:solidFill>
          </w14:textFill>
        </w:rPr>
        <w:t>、税务</w:t>
      </w:r>
      <w:r>
        <w:rPr>
          <w:rFonts w:hint="eastAsia" w:ascii="仿宋" w:hAnsi="仿宋" w:eastAsia="仿宋" w:cs="仿宋"/>
          <w:i w:val="0"/>
          <w:caps w:val="0"/>
          <w:color w:val="000000" w:themeColor="text1"/>
          <w:spacing w:val="0"/>
          <w:sz w:val="24"/>
          <w:szCs w:val="24"/>
          <w14:textFill>
            <w14:solidFill>
              <w14:schemeClr w14:val="tx1"/>
            </w14:solidFill>
          </w14:textFill>
        </w:rPr>
        <w:t>系列课程资源</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1200" w:right="0" w:rightChars="0" w:firstLine="0"/>
        <w:textAlignment w:val="top"/>
        <w:outlineLvl w:val="9"/>
        <w:rPr>
          <w:rFonts w:hint="eastAsia" w:ascii="仿宋" w:hAnsi="仿宋" w:eastAsia="仿宋" w:cs="仿宋"/>
          <w:i w:val="0"/>
          <w:caps w:val="0"/>
          <w:color w:val="000000" w:themeColor="text1"/>
          <w:spacing w:val="0"/>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lang w:val="en-US" w:eastAsia="zh-CN"/>
          <w14:textFill>
            <w14:solidFill>
              <w14:schemeClr w14:val="tx1"/>
            </w14:solidFill>
          </w14:textFill>
        </w:rPr>
        <w:t>4</w:t>
      </w:r>
      <w:r>
        <w:rPr>
          <w:rFonts w:hint="eastAsia" w:ascii="仿宋" w:hAnsi="仿宋" w:eastAsia="仿宋" w:cs="仿宋"/>
          <w:i w:val="0"/>
          <w:caps w:val="0"/>
          <w:color w:val="000000" w:themeColor="text1"/>
          <w:spacing w:val="0"/>
          <w:sz w:val="24"/>
          <w:szCs w:val="24"/>
          <w14:textFill>
            <w14:solidFill>
              <w14:schemeClr w14:val="tx1"/>
            </w14:solidFill>
          </w14:textFill>
        </w:rPr>
        <w:t>) 基于促进学生创业财商能力、税务知识、财务管理能力、谈判能力、危机处理能力等能普遍应用于社会受众的系列课程资源</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以上课程资源要求课程团队重新梳理原有知识体系，构建细胞化知识点资源，便于更新、维护及整合商业运营。</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申报单位需要设立课题经费池专项管理，并提供配套经费进行对口课题支持，校企双方共同针对项目计划进展拨付项目经费； </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书面承诺和表明，所有项目建设内容按照最新标准及法规及时更新。并可面向高校、社会、企业开放。</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3.1、立项示范课程建设项目需完成以下任务：</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1) 课程总体资源：</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2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包含课程介绍、课程大纲（包括具体的课程时间分配、章节、实验、习题描述）、教师授课教案、课程标准、学期授课计划、学习参考、专业案例、教学案例、课程考核方案；</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2) 课程学习资源：</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2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包含学习指南、电子教材、教学课件（PPT及思维导图）、微课/教学视频、教学动画、企业案例、同步习题及答案解析、真账实操训练内容、课程作业、辅学资源；</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3) 扩展资源：</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包含课程学习自测系统、虚拟仿真技能训练项目、技能竞赛指导训练与组织开展技能竞赛、组织学生参与开展的生产技术服务、指导学生开展的技术创新或创业活动或项目、创建图片库、视频库、论文库、案例库等子栏目，课程相关的拓展资料等。</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*注：以上</w:t>
      </w:r>
      <w:r>
        <w:rPr>
          <w:rFonts w:ascii="Calibri" w:hAnsi="Calibri" w:eastAsia="sans-serif" w:cs="Calibri"/>
          <w:i w:val="0"/>
          <w:caps w:val="0"/>
          <w:color w:val="000000" w:themeColor="text1"/>
          <w:spacing w:val="0"/>
          <w:sz w:val="24"/>
          <w:szCs w:val="24"/>
          <w14:textFill>
            <w14:solidFill>
              <w14:schemeClr w14:val="tx1"/>
            </w14:solidFill>
          </w14:textFill>
        </w:rPr>
        <w:t> </w:t>
      </w:r>
      <w:r>
        <w:rPr>
          <w:rFonts w:hint="eastAsia" w:ascii="仿宋" w:hAnsi="仿宋" w:eastAsia="仿宋" w:cs="仿宋"/>
          <w:i w:val="0"/>
          <w:caps w:val="0"/>
          <w:color w:val="000000" w:themeColor="text1"/>
          <w:spacing w:val="0"/>
          <w:sz w:val="24"/>
          <w:szCs w:val="24"/>
          <w14:textFill>
            <w14:solidFill>
              <w14:schemeClr w14:val="tx1"/>
            </w14:solidFill>
          </w14:textFill>
        </w:rPr>
        <w:t>3</w:t>
      </w:r>
      <w:r>
        <w:rPr>
          <w:rFonts w:hint="default" w:ascii="Calibri" w:hAnsi="Calibri" w:eastAsia="sans-serif" w:cs="Calibri"/>
          <w:i w:val="0"/>
          <w:caps w:val="0"/>
          <w:color w:val="000000" w:themeColor="text1"/>
          <w:spacing w:val="0"/>
          <w:sz w:val="24"/>
          <w:szCs w:val="24"/>
          <w14:textFill>
            <w14:solidFill>
              <w14:schemeClr w14:val="tx1"/>
            </w14:solidFill>
          </w14:textFill>
        </w:rPr>
        <w:t> </w:t>
      </w:r>
      <w:r>
        <w:rPr>
          <w:rFonts w:hint="eastAsia" w:ascii="仿宋" w:hAnsi="仿宋" w:eastAsia="仿宋" w:cs="仿宋"/>
          <w:i w:val="0"/>
          <w:caps w:val="0"/>
          <w:color w:val="000000" w:themeColor="text1"/>
          <w:spacing w:val="0"/>
          <w:sz w:val="24"/>
          <w:szCs w:val="24"/>
          <w14:textFill>
            <w14:solidFill>
              <w14:schemeClr w14:val="tx1"/>
            </w14:solidFill>
          </w14:textFill>
        </w:rPr>
        <w:t>项由课程团队完成。</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right="0" w:rightChars="0" w:firstLine="480" w:firstLineChars="20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广州致仪公司对所开发课程成果不拥有任何知识产权。项目支持的所有课程资源均要求在学校自己网站上进行共享并保持更新，可给其他所有学校免费使用，促进教学资源共享。</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4、支持办法：</w:t>
      </w:r>
    </w:p>
    <w:p>
      <w:pPr>
        <w:pStyle w:val="3"/>
        <w:ind w:firstLine="840" w:firstLineChars="400"/>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color w:val="000000" w:themeColor="text1"/>
          <w:lang w:val="en-US" w:eastAsia="zh-CN"/>
          <w14:textFill>
            <w14:solidFill>
              <w14:schemeClr w14:val="tx1"/>
            </w14:solidFill>
          </w14:textFill>
        </w:rPr>
        <w:t>拟支持7项</w:t>
      </w:r>
      <w:r>
        <w:rPr>
          <w:rStyle w:val="10"/>
          <w:rFonts w:hint="eastAsia" w:ascii="仿宋" w:hAnsi="仿宋" w:eastAsia="仿宋" w:cs="仿宋"/>
          <w:i w:val="0"/>
          <w:caps w:val="0"/>
          <w:color w:val="000000" w:themeColor="text1"/>
          <w:spacing w:val="0"/>
          <w:sz w:val="24"/>
          <w:szCs w:val="24"/>
          <w14:textFill>
            <w14:solidFill>
              <w14:schemeClr w14:val="tx1"/>
            </w14:solidFill>
          </w14:textFill>
        </w:rPr>
        <w:t>教学内容和课程体系改革项目；</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1) 专门项目团队对接负责，随时保持双向沟通和交流，做到交流反馈零延迟。</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2) 经费支持：对于立项并验收合格的项目</w:t>
      </w:r>
      <w:r>
        <w:rPr>
          <w:rFonts w:hint="eastAsia" w:ascii="仿宋" w:hAnsi="仿宋" w:eastAsia="仿宋" w:cs="仿宋"/>
          <w:i w:val="0"/>
          <w:caps w:val="0"/>
          <w:color w:val="000000" w:themeColor="text1"/>
          <w:spacing w:val="0"/>
          <w:sz w:val="24"/>
          <w:szCs w:val="24"/>
          <w:lang w:eastAsia="zh-CN"/>
          <w14:textFill>
            <w14:solidFill>
              <w14:schemeClr w14:val="tx1"/>
            </w14:solidFill>
          </w14:textFill>
        </w:rPr>
        <w:t>每个</w:t>
      </w:r>
      <w:bookmarkStart w:id="0" w:name="_GoBack"/>
      <w:bookmarkEnd w:id="0"/>
      <w:r>
        <w:rPr>
          <w:rFonts w:hint="eastAsia" w:ascii="仿宋" w:hAnsi="仿宋" w:eastAsia="仿宋" w:cs="仿宋"/>
          <w:i w:val="0"/>
          <w:caps w:val="0"/>
          <w:color w:val="000000" w:themeColor="text1"/>
          <w:spacing w:val="0"/>
          <w:sz w:val="24"/>
          <w:szCs w:val="24"/>
          <w14:textFill>
            <w14:solidFill>
              <w14:schemeClr w14:val="tx1"/>
            </w14:solidFill>
          </w14:textFill>
        </w:rPr>
        <w:t>提供3万元人民币的经费支持及</w:t>
      </w:r>
      <w:r>
        <w:rPr>
          <w:rFonts w:hint="eastAsia" w:ascii="仿宋" w:hAnsi="仿宋" w:eastAsia="仿宋" w:cs="仿宋"/>
          <w:i w:val="0"/>
          <w:caps w:val="0"/>
          <w:color w:val="000000" w:themeColor="text1"/>
          <w:spacing w:val="0"/>
          <w:sz w:val="24"/>
          <w:szCs w:val="24"/>
          <w:lang w:val="en-US" w:eastAsia="zh-CN"/>
          <w14:textFill>
            <w14:solidFill>
              <w14:schemeClr w14:val="tx1"/>
            </w14:solidFill>
          </w14:textFill>
        </w:rPr>
        <w:t>价值</w:t>
      </w:r>
      <w:r>
        <w:rPr>
          <w:rFonts w:hint="eastAsia" w:ascii="仿宋" w:hAnsi="仿宋" w:eastAsia="仿宋" w:cs="仿宋"/>
          <w:i w:val="0"/>
          <w:caps w:val="0"/>
          <w:color w:val="000000" w:themeColor="text1"/>
          <w:spacing w:val="0"/>
          <w:sz w:val="24"/>
          <w:szCs w:val="24"/>
          <w14:textFill>
            <w14:solidFill>
              <w14:schemeClr w14:val="tx1"/>
            </w14:solidFill>
          </w14:textFill>
        </w:rPr>
        <w:t>100万元平台配套，建设周期一年。</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3) 培训支持：提供基于</w:t>
      </w:r>
      <w:r>
        <w:rPr>
          <w:rFonts w:hint="eastAsia" w:ascii="仿宋" w:hAnsi="仿宋" w:eastAsia="仿宋" w:cs="仿宋"/>
          <w:i w:val="0"/>
          <w:caps w:val="0"/>
          <w:color w:val="000000" w:themeColor="text1"/>
          <w:spacing w:val="0"/>
          <w:sz w:val="24"/>
          <w:szCs w:val="24"/>
          <w:lang w:eastAsia="zh-CN"/>
          <w14:textFill>
            <w14:solidFill>
              <w14:schemeClr w14:val="tx1"/>
            </w14:solidFill>
          </w14:textFill>
        </w:rPr>
        <w:t>易财经</w:t>
      </w:r>
      <w:r>
        <w:rPr>
          <w:rFonts w:hint="eastAsia" w:ascii="仿宋" w:hAnsi="仿宋" w:eastAsia="仿宋" w:cs="仿宋"/>
          <w:i w:val="0"/>
          <w:caps w:val="0"/>
          <w:color w:val="000000" w:themeColor="text1"/>
          <w:spacing w:val="0"/>
          <w:sz w:val="24"/>
          <w:szCs w:val="24"/>
          <w14:textFill>
            <w14:solidFill>
              <w14:schemeClr w14:val="tx1"/>
            </w14:solidFill>
          </w14:textFill>
        </w:rPr>
        <w:t>资源共享管理平台的移动信息化教学内容建设的现场师资培训，配套提供基于云端、全平台移动信息化教学的案例教学、翻转课堂、混合教学、行为导向教学的线上</w:t>
      </w:r>
      <w:r>
        <w:rPr>
          <w:rFonts w:hint="eastAsia" w:ascii="仿宋" w:hAnsi="仿宋" w:eastAsia="仿宋" w:cs="仿宋"/>
          <w:i w:val="0"/>
          <w:caps w:val="0"/>
          <w:color w:val="000000" w:themeColor="text1"/>
          <w:spacing w:val="0"/>
          <w:sz w:val="24"/>
          <w:szCs w:val="24"/>
          <w:lang w:eastAsia="zh-CN"/>
          <w14:textFill>
            <w14:solidFill>
              <w14:schemeClr w14:val="tx1"/>
            </w14:solidFill>
          </w14:textFill>
        </w:rPr>
        <w:t>、</w:t>
      </w:r>
      <w:r>
        <w:rPr>
          <w:rFonts w:hint="eastAsia" w:ascii="仿宋" w:hAnsi="仿宋" w:eastAsia="仿宋" w:cs="仿宋"/>
          <w:i w:val="0"/>
          <w:caps w:val="0"/>
          <w:color w:val="000000" w:themeColor="text1"/>
          <w:spacing w:val="0"/>
          <w:sz w:val="24"/>
          <w:szCs w:val="24"/>
          <w14:textFill>
            <w14:solidFill>
              <w14:schemeClr w14:val="tx1"/>
            </w14:solidFill>
          </w14:textFill>
        </w:rPr>
        <w:t>线下结合的混合式培训。</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4) 技术支持：提供移动信息化教学内容建设的技术标准、文档规范和多媒体素材格式要求，促进课程建设项目的顺利进行。</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5) 平台建设：配套提供</w:t>
      </w:r>
      <w:r>
        <w:rPr>
          <w:rFonts w:hint="eastAsia" w:ascii="仿宋" w:hAnsi="仿宋" w:eastAsia="仿宋" w:cs="仿宋"/>
          <w:i w:val="0"/>
          <w:caps w:val="0"/>
          <w:color w:val="000000" w:themeColor="text1"/>
          <w:spacing w:val="0"/>
          <w:sz w:val="24"/>
          <w:szCs w:val="24"/>
          <w:lang w:eastAsia="zh-CN"/>
          <w14:textFill>
            <w14:solidFill>
              <w14:schemeClr w14:val="tx1"/>
            </w14:solidFill>
          </w14:textFill>
        </w:rPr>
        <w:t>易财经</w:t>
      </w:r>
      <w:r>
        <w:rPr>
          <w:rFonts w:hint="eastAsia" w:ascii="仿宋" w:hAnsi="仿宋" w:eastAsia="仿宋" w:cs="仿宋"/>
          <w:i w:val="0"/>
          <w:caps w:val="0"/>
          <w:color w:val="000000" w:themeColor="text1"/>
          <w:spacing w:val="0"/>
          <w:sz w:val="24"/>
          <w:szCs w:val="24"/>
          <w14:textFill>
            <w14:solidFill>
              <w14:schemeClr w14:val="tx1"/>
            </w14:solidFill>
          </w14:textFill>
        </w:rPr>
        <w:t>平台，指导院校平台、专业课程平台的教学管理应用。</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6) 推广支持：根据协议，进行多项商业推广，为院校提供市场活动、期刊课题专题报道、媒体宣传推广、学术研究会议等支持。</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 </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宋体" w:hAnsi="宋体" w:eastAsia="宋体" w:cs="宋体"/>
          <w:i w:val="0"/>
          <w:caps w:val="0"/>
          <w:color w:val="000000" w:themeColor="text1"/>
          <w:spacing w:val="0"/>
          <w:sz w:val="21"/>
          <w:szCs w:val="21"/>
          <w14:textFill>
            <w14:solidFill>
              <w14:schemeClr w14:val="tx1"/>
            </w14:solidFill>
          </w14:textFill>
        </w:rPr>
        <w:t>三、</w:t>
      </w:r>
      <w:r>
        <w:rPr>
          <w:rStyle w:val="10"/>
          <w:rFonts w:hint="eastAsia" w:ascii="仿宋" w:hAnsi="仿宋" w:eastAsia="仿宋" w:cs="仿宋"/>
          <w:i w:val="0"/>
          <w:caps w:val="0"/>
          <w:color w:val="000000" w:themeColor="text1"/>
          <w:spacing w:val="0"/>
          <w:sz w:val="24"/>
          <w:szCs w:val="24"/>
          <w14:textFill>
            <w14:solidFill>
              <w14:schemeClr w14:val="tx1"/>
            </w14:solidFill>
          </w14:textFill>
        </w:rPr>
        <w:t>师资培训项目</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1、项目内容：</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拟设立</w:t>
      </w:r>
      <w:r>
        <w:rPr>
          <w:rFonts w:hint="eastAsia" w:ascii="仿宋" w:hAnsi="仿宋" w:eastAsia="仿宋" w:cs="仿宋"/>
          <w:i w:val="0"/>
          <w:caps w:val="0"/>
          <w:color w:val="000000" w:themeColor="text1"/>
          <w:spacing w:val="0"/>
          <w:sz w:val="24"/>
          <w:szCs w:val="24"/>
          <w:lang w:val="en-US" w:eastAsia="zh-CN"/>
          <w14:textFill>
            <w14:solidFill>
              <w14:schemeClr w14:val="tx1"/>
            </w14:solidFill>
          </w14:textFill>
        </w:rPr>
        <w:t>2个项目</w:t>
      </w:r>
      <w:r>
        <w:rPr>
          <w:rFonts w:hint="eastAsia" w:ascii="仿宋" w:hAnsi="仿宋" w:eastAsia="仿宋" w:cs="仿宋"/>
          <w:i w:val="0"/>
          <w:caps w:val="0"/>
          <w:color w:val="000000" w:themeColor="text1"/>
          <w:spacing w:val="0"/>
          <w:sz w:val="24"/>
          <w:szCs w:val="24"/>
          <w14:textFill>
            <w14:solidFill>
              <w14:schemeClr w14:val="tx1"/>
            </w14:solidFill>
          </w14:textFill>
        </w:rPr>
        <w:t>，以提高教师实践能力和教学水平为目标，面向高等院校的会计类、管理会计类、审计类、税务类等</w:t>
      </w:r>
      <w:r>
        <w:rPr>
          <w:rFonts w:hint="eastAsia" w:ascii="仿宋" w:hAnsi="仿宋" w:eastAsia="仿宋" w:cs="仿宋"/>
          <w:i w:val="0"/>
          <w:caps w:val="0"/>
          <w:color w:val="000000" w:themeColor="text1"/>
          <w:spacing w:val="0"/>
          <w:sz w:val="24"/>
          <w:szCs w:val="24"/>
          <w:lang w:val="en-US" w:eastAsia="zh-CN"/>
          <w14:textFill>
            <w14:solidFill>
              <w14:schemeClr w14:val="tx1"/>
            </w14:solidFill>
          </w14:textFill>
        </w:rPr>
        <w:t>多方向</w:t>
      </w:r>
      <w:r>
        <w:rPr>
          <w:rFonts w:hint="eastAsia" w:ascii="仿宋" w:hAnsi="仿宋" w:eastAsia="仿宋" w:cs="仿宋"/>
          <w:i w:val="0"/>
          <w:caps w:val="0"/>
          <w:color w:val="000000" w:themeColor="text1"/>
          <w:spacing w:val="0"/>
          <w:sz w:val="24"/>
          <w:szCs w:val="24"/>
          <w14:textFill>
            <w14:solidFill>
              <w14:schemeClr w14:val="tx1"/>
            </w14:solidFill>
          </w14:textFill>
        </w:rPr>
        <w:t>专业方向的青年教师，由广州致仪联合意向合作的高校及业界权威专家牵头共建师资培训项目，其他学校参与培训。接受教师到本公司参与研发设计。</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鼓励教师对新兴产业/技术进行深入研究,鼓励教师将最前沿学术研究成果转化为可推广的理论，同时运用信息化技术，提高教学质量和效率。 </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2、申报条件：</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围绕管理会计类、税务类、会计信息化类、业财税融合、共享财务中心、金融科技、大数据等方向。课程体系开发及建设等主题与伙伴高校合作开发师资培训项目。</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3、建设要求：</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根据不同院校需求派遣有丰富实践经验的专家级讲师，契合当前高校一线教育教学改革需求，结合当下流行的新型教学技术开展培训，推进教学改革与创新工作，帮助合作院校完善专业课程教学建设，引导教师积极参与教学培训、课题研究、技术研讨、学习和交流活动。</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1) 项目申报单位与广州致仪联合组织举办不少于1次区域内的对应课程师资研修活动；</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2) 学校领导应积极支持教学创新和人才培养，推进高校专业综合改革，优先考虑具有创新发展思路的试点合作院校；</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3) 院校主导培训人员邀请、提供免费场地、设施和服务支持。</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4) 项目需完成师资研修成果报告：包括但不限于培训计划、主题内容、探讨笔记及学习思考总结。</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4、支持办法：</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广州致仪公司提供</w:t>
      </w:r>
      <w:r>
        <w:rPr>
          <w:rFonts w:hint="eastAsia" w:ascii="仿宋" w:hAnsi="仿宋" w:eastAsia="仿宋" w:cs="仿宋"/>
          <w:i w:val="0"/>
          <w:caps w:val="0"/>
          <w:color w:val="000000" w:themeColor="text1"/>
          <w:spacing w:val="0"/>
          <w:sz w:val="24"/>
          <w:szCs w:val="24"/>
          <w:lang w:eastAsia="zh-CN"/>
          <w14:textFill>
            <w14:solidFill>
              <w14:schemeClr w14:val="tx1"/>
            </w14:solidFill>
          </w14:textFill>
        </w:rPr>
        <w:t>每个</w:t>
      </w:r>
      <w:r>
        <w:rPr>
          <w:rFonts w:hint="eastAsia" w:ascii="仿宋" w:hAnsi="仿宋" w:eastAsia="仿宋" w:cs="仿宋"/>
          <w:i w:val="0"/>
          <w:caps w:val="0"/>
          <w:color w:val="000000" w:themeColor="text1"/>
          <w:spacing w:val="0"/>
          <w:sz w:val="24"/>
          <w:szCs w:val="24"/>
          <w14:textFill>
            <w14:solidFill>
              <w14:schemeClr w14:val="tx1"/>
            </w14:solidFill>
          </w14:textFill>
        </w:rPr>
        <w:t>1万元经费及价值50万元平台或软件用于师资培训。</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default" w:ascii="sans-serif" w:hAnsi="sans-serif" w:eastAsia="sans-serif" w:cs="sans-serif"/>
          <w:i w:val="0"/>
          <w:caps w:val="0"/>
          <w:color w:val="000000" w:themeColor="text1"/>
          <w:spacing w:val="0"/>
          <w:sz w:val="22"/>
          <w:szCs w:val="22"/>
          <w14:textFill>
            <w14:solidFill>
              <w14:schemeClr w14:val="tx1"/>
            </w14:solidFill>
          </w14:textFill>
        </w:rPr>
        <w:t> </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四、实践条件及实践基地建设项目</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1、项目内容：</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2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拟支持</w:t>
      </w:r>
      <w:r>
        <w:rPr>
          <w:rFonts w:hint="eastAsia" w:ascii="仿宋" w:hAnsi="仿宋" w:eastAsia="仿宋" w:cs="仿宋"/>
          <w:i w:val="0"/>
          <w:caps w:val="0"/>
          <w:color w:val="000000" w:themeColor="text1"/>
          <w:spacing w:val="0"/>
          <w:sz w:val="24"/>
          <w:szCs w:val="24"/>
          <w:lang w:val="en-US" w:eastAsia="zh-CN"/>
          <w14:textFill>
            <w14:solidFill>
              <w14:schemeClr w14:val="tx1"/>
            </w14:solidFill>
          </w14:textFill>
        </w:rPr>
        <w:t>5</w:t>
      </w:r>
      <w:r>
        <w:rPr>
          <w:rFonts w:hint="eastAsia" w:ascii="仿宋" w:hAnsi="仿宋" w:eastAsia="仿宋" w:cs="仿宋"/>
          <w:i w:val="0"/>
          <w:caps w:val="0"/>
          <w:color w:val="000000" w:themeColor="text1"/>
          <w:spacing w:val="0"/>
          <w:sz w:val="24"/>
          <w:szCs w:val="24"/>
          <w14:textFill>
            <w14:solidFill>
              <w14:schemeClr w14:val="tx1"/>
            </w14:solidFill>
          </w14:textFill>
        </w:rPr>
        <w:t>个项目，申报人可以参考以下课题进行申报，但不限于以下内容：</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585"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1) 仿真商业环境实验室建设方案</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585"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2) 仿真纳税申报实验室建设方案</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585"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3) 业财税深度一体化的智能财务共享平台建设方案</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585"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lang w:val="en-US" w:eastAsia="zh-CN"/>
          <w14:textFill>
            <w14:solidFill>
              <w14:schemeClr w14:val="tx1"/>
            </w14:solidFill>
          </w14:textFill>
        </w:rPr>
        <w:t>4</w:t>
      </w:r>
      <w:r>
        <w:rPr>
          <w:rFonts w:hint="eastAsia" w:ascii="仿宋" w:hAnsi="仿宋" w:eastAsia="仿宋" w:cs="仿宋"/>
          <w:i w:val="0"/>
          <w:caps w:val="0"/>
          <w:color w:val="000000" w:themeColor="text1"/>
          <w:spacing w:val="0"/>
          <w:sz w:val="24"/>
          <w:szCs w:val="24"/>
          <w14:textFill>
            <w14:solidFill>
              <w14:schemeClr w14:val="tx1"/>
            </w14:solidFill>
          </w14:textFill>
        </w:rPr>
        <w:t>) 财务共享实践教学基地（实验室）建设方案</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585"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lang w:val="en-US" w:eastAsia="zh-CN"/>
          <w14:textFill>
            <w14:solidFill>
              <w14:schemeClr w14:val="tx1"/>
            </w14:solidFill>
          </w14:textFill>
        </w:rPr>
        <w:t>5</w:t>
      </w:r>
      <w:r>
        <w:rPr>
          <w:rFonts w:hint="eastAsia" w:ascii="仿宋" w:hAnsi="仿宋" w:eastAsia="仿宋" w:cs="仿宋"/>
          <w:i w:val="0"/>
          <w:caps w:val="0"/>
          <w:color w:val="000000" w:themeColor="text1"/>
          <w:spacing w:val="0"/>
          <w:sz w:val="24"/>
          <w:szCs w:val="24"/>
          <w14:textFill>
            <w14:solidFill>
              <w14:schemeClr w14:val="tx1"/>
            </w14:solidFill>
          </w14:textFill>
        </w:rPr>
        <w:t>）大数据实验室建设方案</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2、申报条件：</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1) 建设为省级或国家级虚拟仿真实验教学中心；</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2) 场地能单独部署网络环境，满足国家级虚拟仿真实验室的开放性要求；</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3) 立项项目所在学校需要提供免费的场地给项目使用；</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4) 基于广州致仪方案优先考虑；</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3、建设要求：</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立项本项目在执行期内完成以下任务：</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1) 建设方案：包括建设背景、建设目标、建设内容、环境设计、建设计划、配套课程、使用价值等；环境设计需要描述实践教学环境的图像以及视频材料；建设方案将以白皮书的形式汇总提炼并公开发布；</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2) 申报单位需要设立课题经费池专项管理，并提供配套经费进行对口课题支持，校企双方共同针对项目计划进展拨付项目经费；</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3) 该项目执行周期为1年，执行日期从教育部高教司统一公布立项名单日算起；</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4) 书面承诺和表明所有项目建设内容可面向高校、社会、企业开放。</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48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Style w:val="10"/>
          <w:rFonts w:hint="eastAsia" w:ascii="仿宋" w:hAnsi="仿宋" w:eastAsia="仿宋" w:cs="仿宋"/>
          <w:i w:val="0"/>
          <w:caps w:val="0"/>
          <w:color w:val="000000" w:themeColor="text1"/>
          <w:spacing w:val="0"/>
          <w:sz w:val="24"/>
          <w:szCs w:val="24"/>
          <w14:textFill>
            <w14:solidFill>
              <w14:schemeClr w14:val="tx1"/>
            </w14:solidFill>
          </w14:textFill>
        </w:rPr>
        <w:t>4、支持办法：</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1) 为申报单位提供价值15万元的整体设计方案，立项并验收合格的项目提供建设经费3万元人民币，价值100万元的平台；</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2) 为项目建设单位提供实训平台培训服务；</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3) 为学校提供项目团队支持；在项目开展的期内，保持双向沟通和交流，促进实训建设项目的顺利进行。</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840" w:right="0" w:rightChars="0" w:firstLine="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r>
        <w:rPr>
          <w:rFonts w:hint="eastAsia" w:ascii="仿宋" w:hAnsi="仿宋" w:eastAsia="仿宋" w:cs="仿宋"/>
          <w:i w:val="0"/>
          <w:caps w:val="0"/>
          <w:color w:val="000000" w:themeColor="text1"/>
          <w:spacing w:val="0"/>
          <w:sz w:val="24"/>
          <w:szCs w:val="24"/>
          <w14:textFill>
            <w14:solidFill>
              <w14:schemeClr w14:val="tx1"/>
            </w14:solidFill>
          </w14:textFill>
        </w:rPr>
        <w:t> </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right="0" w:rightChars="0"/>
        <w:textAlignment w:val="top"/>
        <w:outlineLvl w:val="9"/>
        <w:rPr>
          <w:rFonts w:hint="default" w:ascii="sans-serif" w:hAnsi="sans-serif" w:eastAsia="sans-serif" w:cs="sans-serif"/>
          <w:i w:val="0"/>
          <w:caps w:val="0"/>
          <w:color w:val="000000" w:themeColor="text1"/>
          <w:spacing w:val="0"/>
          <w:sz w:val="22"/>
          <w:szCs w:val="22"/>
          <w14:textFill>
            <w14:solidFill>
              <w14:schemeClr w14:val="tx1"/>
            </w14:solidFill>
          </w14:textFill>
        </w:rPr>
      </w:pP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right="0" w:rightChars="0"/>
        <w:textAlignment w:val="top"/>
        <w:outlineLvl w:val="9"/>
        <w:rPr>
          <w:rStyle w:val="10"/>
          <w:rFonts w:hint="eastAsia" w:ascii="仿宋" w:hAnsi="仿宋" w:eastAsia="仿宋" w:cs="仿宋"/>
          <w:i w:val="0"/>
          <w:caps w:val="0"/>
          <w:color w:val="000000" w:themeColor="text1"/>
          <w:spacing w:val="0"/>
          <w:sz w:val="24"/>
          <w:szCs w:val="24"/>
          <w14:textFill>
            <w14:solidFill>
              <w14:schemeClr w14:val="tx1"/>
            </w14:solidFill>
          </w14:textFill>
        </w:rPr>
      </w:pPr>
      <w:r>
        <w:rPr>
          <w:rFonts w:hint="default" w:ascii="sans-serif" w:hAnsi="sans-serif" w:eastAsia="sans-serif" w:cs="sans-serif"/>
          <w:i w:val="0"/>
          <w:caps w:val="0"/>
          <w:color w:val="000000" w:themeColor="text1"/>
          <w:spacing w:val="0"/>
          <w:sz w:val="22"/>
          <w:szCs w:val="22"/>
          <w14:textFill>
            <w14:solidFill>
              <w14:schemeClr w14:val="tx1"/>
            </w14:solidFill>
          </w14:textFill>
        </w:rPr>
        <w:t> </w:t>
      </w:r>
      <w:r>
        <w:rPr>
          <w:rStyle w:val="10"/>
          <w:rFonts w:hint="eastAsia" w:ascii="仿宋" w:hAnsi="仿宋" w:eastAsia="仿宋" w:cs="仿宋"/>
          <w:i w:val="0"/>
          <w:caps w:val="0"/>
          <w:color w:val="000000" w:themeColor="text1"/>
          <w:spacing w:val="0"/>
          <w:sz w:val="24"/>
          <w:szCs w:val="24"/>
          <w:lang w:eastAsia="zh-CN"/>
          <w14:textFill>
            <w14:solidFill>
              <w14:schemeClr w14:val="tx1"/>
            </w14:solidFill>
          </w14:textFill>
        </w:rPr>
        <w:t>五</w:t>
      </w:r>
      <w:r>
        <w:rPr>
          <w:rStyle w:val="10"/>
          <w:rFonts w:hint="eastAsia" w:ascii="仿宋" w:hAnsi="仿宋" w:eastAsia="仿宋" w:cs="仿宋"/>
          <w:i w:val="0"/>
          <w:caps w:val="0"/>
          <w:color w:val="000000" w:themeColor="text1"/>
          <w:spacing w:val="0"/>
          <w:sz w:val="24"/>
          <w:szCs w:val="24"/>
          <w14:textFill>
            <w14:solidFill>
              <w14:schemeClr w14:val="tx1"/>
            </w14:solidFill>
          </w14:textFill>
        </w:rPr>
        <w:t>、申请办法</w:t>
      </w:r>
    </w:p>
    <w:p>
      <w:pPr>
        <w:pStyle w:val="7"/>
        <w:keepNext w:val="0"/>
        <w:keepLines w:val="0"/>
        <w:pageBreakBefore w:val="0"/>
        <w:widowControl w:val="0"/>
        <w:suppressLineNumbers w:val="0"/>
        <w:kinsoku w:val="0"/>
        <w:wordWrap/>
        <w:topLinePunct w:val="0"/>
        <w:autoSpaceDE/>
        <w:autoSpaceDN/>
        <w:bidi w:val="0"/>
        <w:spacing w:beforeAutospacing="0" w:afterAutospacing="0" w:line="435" w:lineRule="atLeast"/>
        <w:ind w:left="0" w:right="0" w:rightChars="0" w:firstLine="600"/>
        <w:outlineLvl w:val="9"/>
        <w:rPr>
          <w:rFonts w:hint="default" w:ascii="sans-serif" w:hAnsi="sans-serif" w:eastAsia="sans-serif" w:cs="sans-serif"/>
          <w:i w:val="0"/>
          <w:caps w:val="0"/>
          <w:color w:val="auto"/>
          <w:spacing w:val="0"/>
          <w:sz w:val="22"/>
          <w:szCs w:val="22"/>
        </w:rPr>
      </w:pPr>
      <w:r>
        <w:rPr>
          <w:rStyle w:val="10"/>
          <w:rFonts w:hint="eastAsia" w:ascii="仿宋" w:hAnsi="仿宋" w:eastAsia="仿宋" w:cs="仿宋"/>
          <w:i w:val="0"/>
          <w:caps w:val="0"/>
          <w:color w:val="000000" w:themeColor="text1"/>
          <w:spacing w:val="0"/>
          <w:sz w:val="24"/>
          <w:szCs w:val="24"/>
          <w:lang w:val="en-US" w:eastAsia="zh-CN"/>
          <w14:textFill>
            <w14:solidFill>
              <w14:schemeClr w14:val="tx1"/>
            </w14:solidFill>
          </w14:textFill>
        </w:rPr>
        <w:t xml:space="preserve"> </w:t>
      </w:r>
    </w:p>
    <w:p>
      <w:pPr>
        <w:pStyle w:val="7"/>
        <w:keepNext w:val="0"/>
        <w:keepLines w:val="0"/>
        <w:pageBreakBefore w:val="0"/>
        <w:widowControl w:val="0"/>
        <w:kinsoku w:val="0"/>
        <w:wordWrap/>
        <w:topLinePunct w:val="0"/>
        <w:autoSpaceDE/>
        <w:autoSpaceDN/>
        <w:bidi w:val="0"/>
        <w:spacing w:beforeAutospacing="0" w:afterAutospacing="0" w:line="440" w:lineRule="exact"/>
        <w:ind w:right="0" w:rightChars="0" w:firstLine="600"/>
        <w:outlineLvl w:val="9"/>
        <w:rPr>
          <w:rFonts w:ascii="仿宋" w:hAnsi="仿宋" w:eastAsia="仿宋" w:cs="华文仿宋"/>
          <w:color w:val="000000" w:themeColor="text1"/>
          <w:sz w:val="24"/>
          <w:szCs w:val="28"/>
          <w14:textFill>
            <w14:solidFill>
              <w14:schemeClr w14:val="tx1"/>
            </w14:solidFill>
          </w14:textFill>
        </w:rPr>
      </w:pPr>
    </w:p>
    <w:sectPr>
      <w:headerReference r:id="rId3" w:type="default"/>
      <w:footerReference r:id="rId4" w:type="default"/>
      <w:pgSz w:w="11906" w:h="16838"/>
      <w:pgMar w:top="919" w:right="1077" w:bottom="1440" w:left="1077" w:header="431" w:footer="573"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decorative"/>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6220712"/>
    </w:sdtPr>
    <w:sdtContent>
      <w:sdt>
        <w:sdtPr>
          <w:id w:val="-1769616900"/>
        </w:sdtPr>
        <w:sdtContent>
          <w:p>
            <w:pPr>
              <w:pStyle w:val="5"/>
              <w:jc w:val="right"/>
            </w:pPr>
            <w:r>
              <w:rPr>
                <w:lang w:val="zh-CN"/>
              </w:rPr>
              <w:t xml:space="preserve"> </w:t>
            </w:r>
            <w:r>
              <w:rPr>
                <w:b/>
                <w:bCs/>
                <w:sz w:val="24"/>
              </w:rPr>
              <w:fldChar w:fldCharType="begin"/>
            </w:r>
            <w:r>
              <w:rPr>
                <w:b/>
                <w:bCs/>
              </w:rPr>
              <w:instrText xml:space="preserve">PAGE</w:instrText>
            </w:r>
            <w:r>
              <w:rPr>
                <w:b/>
                <w:bCs/>
                <w:sz w:val="24"/>
              </w:rPr>
              <w:fldChar w:fldCharType="separate"/>
            </w:r>
            <w:r>
              <w:rPr>
                <w:b/>
                <w:bCs/>
              </w:rPr>
              <w:t>9</w:t>
            </w:r>
            <w:r>
              <w:rPr>
                <w:b/>
                <w:bCs/>
                <w:sz w:val="24"/>
              </w:rPr>
              <w:fldChar w:fldCharType="end"/>
            </w:r>
            <w:r>
              <w:rPr>
                <w:lang w:val="zh-CN"/>
              </w:rPr>
              <w:t xml:space="preserve"> / </w:t>
            </w:r>
            <w:r>
              <w:rPr>
                <w:b/>
                <w:bCs/>
                <w:sz w:val="24"/>
              </w:rPr>
              <w:fldChar w:fldCharType="begin"/>
            </w:r>
            <w:r>
              <w:rPr>
                <w:b/>
                <w:bCs/>
              </w:rPr>
              <w:instrText xml:space="preserve">NUMPAGES</w:instrText>
            </w:r>
            <w:r>
              <w:rPr>
                <w:b/>
                <w:bCs/>
                <w:sz w:val="24"/>
              </w:rPr>
              <w:fldChar w:fldCharType="separate"/>
            </w:r>
            <w:r>
              <w:rPr>
                <w:b/>
                <w:bCs/>
              </w:rPr>
              <w:t>9</w:t>
            </w:r>
            <w:r>
              <w:rPr>
                <w:b/>
                <w:bCs/>
                <w:sz w:val="24"/>
              </w:rPr>
              <w:fldChar w:fldCharType="end"/>
            </w:r>
          </w:p>
        </w:sdtContent>
      </w:sdt>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wordWrap w:val="0"/>
      <w:jc w:val="right"/>
      <w:rPr>
        <w:rFonts w:ascii="Arial" w:hAnsi="Arial" w:eastAsia="宋体" w:cs="Arial"/>
        <w:i/>
        <w:iCs/>
        <w:color w:val="000000"/>
        <w:kern w:val="0"/>
        <w:sz w:val="18"/>
        <w:szCs w:val="18"/>
        <w:lang w:bidi="ar"/>
      </w:rPr>
    </w:pPr>
    <w:r>
      <w:rPr>
        <w:rFonts w:hint="eastAsia" w:ascii="Arial" w:hAnsi="Arial" w:eastAsia="宋体" w:cs="Arial"/>
        <w:i/>
        <w:iCs/>
        <w:color w:val="000000"/>
        <w:kern w:val="0"/>
        <w:sz w:val="18"/>
        <w:szCs w:val="18"/>
        <w:lang w:bidi="ar"/>
      </w:rPr>
      <w:t>让教育公平更有质量！</w:t>
    </w:r>
  </w:p>
  <w:p>
    <w:pPr>
      <w:widowControl/>
      <w:jc w:val="right"/>
      <w:rPr>
        <w:rFonts w:ascii="Arial" w:hAnsi="Arial" w:cs="Arial"/>
        <w:i/>
        <w:iCs/>
        <w:sz w:val="18"/>
        <w:szCs w:val="18"/>
      </w:rPr>
    </w:pPr>
    <w:r>
      <w:rPr>
        <w:rFonts w:ascii="Arial" w:hAnsi="Arial" w:eastAsia="宋体" w:cs="Arial"/>
        <w:i/>
        <w:iCs/>
        <w:color w:val="000000"/>
        <w:kern w:val="0"/>
        <w:sz w:val="18"/>
        <w:szCs w:val="18"/>
        <w:lang w:bidi="ar"/>
      </w:rPr>
      <w:t xml:space="preserve">Make education fair and quality </w:t>
    </w:r>
    <w:r>
      <w:rPr>
        <w:rFonts w:hint="eastAsia" w:ascii="Arial" w:hAnsi="Arial" w:eastAsia="宋体" w:cs="Arial"/>
        <w:i/>
        <w:iCs/>
        <w:color w:val="000000"/>
        <w:kern w:val="0"/>
        <w:sz w:val="18"/>
        <w:szCs w:val="18"/>
        <w:lang w:bidi="ar"/>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1330FDE"/>
    <w:rsid w:val="00001406"/>
    <w:rsid w:val="00007020"/>
    <w:rsid w:val="00013157"/>
    <w:rsid w:val="00013F14"/>
    <w:rsid w:val="000179B0"/>
    <w:rsid w:val="00020199"/>
    <w:rsid w:val="0002538B"/>
    <w:rsid w:val="0003355E"/>
    <w:rsid w:val="00050B2A"/>
    <w:rsid w:val="00061AFE"/>
    <w:rsid w:val="000662B6"/>
    <w:rsid w:val="00094041"/>
    <w:rsid w:val="000C5C1B"/>
    <w:rsid w:val="000C5CFB"/>
    <w:rsid w:val="000E43F1"/>
    <w:rsid w:val="00104243"/>
    <w:rsid w:val="00107177"/>
    <w:rsid w:val="00120CE1"/>
    <w:rsid w:val="00137982"/>
    <w:rsid w:val="00145715"/>
    <w:rsid w:val="00147DB2"/>
    <w:rsid w:val="00190D26"/>
    <w:rsid w:val="00196CBE"/>
    <w:rsid w:val="001B087A"/>
    <w:rsid w:val="001C6B81"/>
    <w:rsid w:val="001D6FC2"/>
    <w:rsid w:val="001E1472"/>
    <w:rsid w:val="001F58CC"/>
    <w:rsid w:val="00204D4C"/>
    <w:rsid w:val="00234C44"/>
    <w:rsid w:val="0025223D"/>
    <w:rsid w:val="00267BD9"/>
    <w:rsid w:val="00292639"/>
    <w:rsid w:val="00292715"/>
    <w:rsid w:val="0029572E"/>
    <w:rsid w:val="002B5F93"/>
    <w:rsid w:val="002E0D4B"/>
    <w:rsid w:val="002E2491"/>
    <w:rsid w:val="002E334F"/>
    <w:rsid w:val="002E4186"/>
    <w:rsid w:val="00306C5A"/>
    <w:rsid w:val="00327067"/>
    <w:rsid w:val="00346E85"/>
    <w:rsid w:val="00346E9A"/>
    <w:rsid w:val="00350BC4"/>
    <w:rsid w:val="00353F5B"/>
    <w:rsid w:val="00355147"/>
    <w:rsid w:val="003564EC"/>
    <w:rsid w:val="003727CD"/>
    <w:rsid w:val="00382FC9"/>
    <w:rsid w:val="00384AAA"/>
    <w:rsid w:val="003A4F1F"/>
    <w:rsid w:val="003B40CF"/>
    <w:rsid w:val="003D42F3"/>
    <w:rsid w:val="003E5716"/>
    <w:rsid w:val="003F3B54"/>
    <w:rsid w:val="003F4185"/>
    <w:rsid w:val="003F4FD4"/>
    <w:rsid w:val="00417122"/>
    <w:rsid w:val="00440A83"/>
    <w:rsid w:val="00445360"/>
    <w:rsid w:val="00446D76"/>
    <w:rsid w:val="0046344C"/>
    <w:rsid w:val="00463B2F"/>
    <w:rsid w:val="0047743E"/>
    <w:rsid w:val="00492B15"/>
    <w:rsid w:val="0049669C"/>
    <w:rsid w:val="004B1E08"/>
    <w:rsid w:val="004C292F"/>
    <w:rsid w:val="004C68B2"/>
    <w:rsid w:val="004C7989"/>
    <w:rsid w:val="004F2B28"/>
    <w:rsid w:val="00504AA4"/>
    <w:rsid w:val="005220DF"/>
    <w:rsid w:val="005514FE"/>
    <w:rsid w:val="00557396"/>
    <w:rsid w:val="00561D91"/>
    <w:rsid w:val="00565B3E"/>
    <w:rsid w:val="00567658"/>
    <w:rsid w:val="00580733"/>
    <w:rsid w:val="00587EFC"/>
    <w:rsid w:val="00590BB0"/>
    <w:rsid w:val="005D477C"/>
    <w:rsid w:val="00612B7E"/>
    <w:rsid w:val="00627C8F"/>
    <w:rsid w:val="00634548"/>
    <w:rsid w:val="00650481"/>
    <w:rsid w:val="00662E70"/>
    <w:rsid w:val="006634D6"/>
    <w:rsid w:val="00674449"/>
    <w:rsid w:val="00696769"/>
    <w:rsid w:val="00696D6E"/>
    <w:rsid w:val="006A37B1"/>
    <w:rsid w:val="006B0691"/>
    <w:rsid w:val="006D150C"/>
    <w:rsid w:val="00703A56"/>
    <w:rsid w:val="00720AE7"/>
    <w:rsid w:val="0072186B"/>
    <w:rsid w:val="00726FA4"/>
    <w:rsid w:val="00731008"/>
    <w:rsid w:val="00737FAD"/>
    <w:rsid w:val="007407BB"/>
    <w:rsid w:val="007442E4"/>
    <w:rsid w:val="007755F5"/>
    <w:rsid w:val="00776EA3"/>
    <w:rsid w:val="00776FA4"/>
    <w:rsid w:val="00780A4D"/>
    <w:rsid w:val="007B7D42"/>
    <w:rsid w:val="00807FAA"/>
    <w:rsid w:val="00811E11"/>
    <w:rsid w:val="00835923"/>
    <w:rsid w:val="008566A1"/>
    <w:rsid w:val="00864E28"/>
    <w:rsid w:val="00883130"/>
    <w:rsid w:val="008B3893"/>
    <w:rsid w:val="008C516E"/>
    <w:rsid w:val="00902E7E"/>
    <w:rsid w:val="009051DD"/>
    <w:rsid w:val="00920545"/>
    <w:rsid w:val="0093073C"/>
    <w:rsid w:val="00944690"/>
    <w:rsid w:val="00947A98"/>
    <w:rsid w:val="009517E2"/>
    <w:rsid w:val="00960666"/>
    <w:rsid w:val="00967D3E"/>
    <w:rsid w:val="00982736"/>
    <w:rsid w:val="0099537F"/>
    <w:rsid w:val="00996C52"/>
    <w:rsid w:val="009B2F61"/>
    <w:rsid w:val="00A07B73"/>
    <w:rsid w:val="00A62900"/>
    <w:rsid w:val="00A65FC0"/>
    <w:rsid w:val="00A903BC"/>
    <w:rsid w:val="00AA0216"/>
    <w:rsid w:val="00AA4BF7"/>
    <w:rsid w:val="00AC1C82"/>
    <w:rsid w:val="00AE1A37"/>
    <w:rsid w:val="00AF03F5"/>
    <w:rsid w:val="00B37422"/>
    <w:rsid w:val="00B400BC"/>
    <w:rsid w:val="00B461D6"/>
    <w:rsid w:val="00B52EDB"/>
    <w:rsid w:val="00B60531"/>
    <w:rsid w:val="00B6323F"/>
    <w:rsid w:val="00B827E5"/>
    <w:rsid w:val="00B948C7"/>
    <w:rsid w:val="00BA06C1"/>
    <w:rsid w:val="00BA1C55"/>
    <w:rsid w:val="00BA7D99"/>
    <w:rsid w:val="00BD3279"/>
    <w:rsid w:val="00BE3628"/>
    <w:rsid w:val="00BE5E47"/>
    <w:rsid w:val="00C13812"/>
    <w:rsid w:val="00C245D8"/>
    <w:rsid w:val="00C27761"/>
    <w:rsid w:val="00C64D57"/>
    <w:rsid w:val="00C81F93"/>
    <w:rsid w:val="00C84B88"/>
    <w:rsid w:val="00C90E9C"/>
    <w:rsid w:val="00C97A55"/>
    <w:rsid w:val="00CA063E"/>
    <w:rsid w:val="00CB1088"/>
    <w:rsid w:val="00CC46D0"/>
    <w:rsid w:val="00CC6124"/>
    <w:rsid w:val="00CE2475"/>
    <w:rsid w:val="00CE520F"/>
    <w:rsid w:val="00D0069E"/>
    <w:rsid w:val="00D229BF"/>
    <w:rsid w:val="00D31F65"/>
    <w:rsid w:val="00D474DA"/>
    <w:rsid w:val="00D51EA0"/>
    <w:rsid w:val="00D52FBA"/>
    <w:rsid w:val="00D54CE5"/>
    <w:rsid w:val="00D71244"/>
    <w:rsid w:val="00D72DF8"/>
    <w:rsid w:val="00D932E1"/>
    <w:rsid w:val="00D95420"/>
    <w:rsid w:val="00DC10A1"/>
    <w:rsid w:val="00DD1F9E"/>
    <w:rsid w:val="00DD3332"/>
    <w:rsid w:val="00DD4B23"/>
    <w:rsid w:val="00DE5448"/>
    <w:rsid w:val="00DF689D"/>
    <w:rsid w:val="00DF7161"/>
    <w:rsid w:val="00E06FB5"/>
    <w:rsid w:val="00E127A1"/>
    <w:rsid w:val="00E2105F"/>
    <w:rsid w:val="00E33F50"/>
    <w:rsid w:val="00E413A1"/>
    <w:rsid w:val="00E50E68"/>
    <w:rsid w:val="00E5148D"/>
    <w:rsid w:val="00E749BD"/>
    <w:rsid w:val="00E92D9D"/>
    <w:rsid w:val="00E93809"/>
    <w:rsid w:val="00EA6729"/>
    <w:rsid w:val="00EC0BD9"/>
    <w:rsid w:val="00ED03BB"/>
    <w:rsid w:val="00ED586B"/>
    <w:rsid w:val="00EE32E0"/>
    <w:rsid w:val="00EF149D"/>
    <w:rsid w:val="00EF18DD"/>
    <w:rsid w:val="00F243C5"/>
    <w:rsid w:val="00F27C29"/>
    <w:rsid w:val="00F448CA"/>
    <w:rsid w:val="00F5379A"/>
    <w:rsid w:val="00F606B7"/>
    <w:rsid w:val="00F75170"/>
    <w:rsid w:val="00F96DFA"/>
    <w:rsid w:val="00FA2265"/>
    <w:rsid w:val="00FA2606"/>
    <w:rsid w:val="00FA3EB8"/>
    <w:rsid w:val="00FB2294"/>
    <w:rsid w:val="00FC5745"/>
    <w:rsid w:val="00FD4F9F"/>
    <w:rsid w:val="00FD6905"/>
    <w:rsid w:val="00FE4F75"/>
    <w:rsid w:val="00FE662C"/>
    <w:rsid w:val="00FE6835"/>
    <w:rsid w:val="00FF0AAF"/>
    <w:rsid w:val="0199020F"/>
    <w:rsid w:val="03F94405"/>
    <w:rsid w:val="049E06AE"/>
    <w:rsid w:val="06145B36"/>
    <w:rsid w:val="0AEA3574"/>
    <w:rsid w:val="0AFC2B25"/>
    <w:rsid w:val="0BB94704"/>
    <w:rsid w:val="0CB638F7"/>
    <w:rsid w:val="10E44471"/>
    <w:rsid w:val="112C198B"/>
    <w:rsid w:val="12480E44"/>
    <w:rsid w:val="14FD1FA4"/>
    <w:rsid w:val="16EC2BE7"/>
    <w:rsid w:val="181E15F1"/>
    <w:rsid w:val="18341478"/>
    <w:rsid w:val="19036665"/>
    <w:rsid w:val="1F0A2C55"/>
    <w:rsid w:val="20994592"/>
    <w:rsid w:val="25CE49CF"/>
    <w:rsid w:val="27610E92"/>
    <w:rsid w:val="2CDA11D5"/>
    <w:rsid w:val="310B489F"/>
    <w:rsid w:val="319E6295"/>
    <w:rsid w:val="31F06B4D"/>
    <w:rsid w:val="360D0208"/>
    <w:rsid w:val="36837F2C"/>
    <w:rsid w:val="3C4A2394"/>
    <w:rsid w:val="3C8647A7"/>
    <w:rsid w:val="3EB41CFD"/>
    <w:rsid w:val="3EFE5D3A"/>
    <w:rsid w:val="4006080E"/>
    <w:rsid w:val="44DA708B"/>
    <w:rsid w:val="480B67A5"/>
    <w:rsid w:val="4F251CA6"/>
    <w:rsid w:val="51A16983"/>
    <w:rsid w:val="52E17F3B"/>
    <w:rsid w:val="5B014792"/>
    <w:rsid w:val="5C3A78C6"/>
    <w:rsid w:val="5E67021B"/>
    <w:rsid w:val="5F9C7EE1"/>
    <w:rsid w:val="60FA2A50"/>
    <w:rsid w:val="634F5E3A"/>
    <w:rsid w:val="69046AD2"/>
    <w:rsid w:val="71330FDE"/>
    <w:rsid w:val="72761078"/>
    <w:rsid w:val="747B4B03"/>
    <w:rsid w:val="74936DD7"/>
    <w:rsid w:val="75C97530"/>
    <w:rsid w:val="760E17AF"/>
    <w:rsid w:val="76D16E40"/>
    <w:rsid w:val="7D0407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3"/>
    <w:qFormat/>
    <w:uiPriority w:val="0"/>
    <w:rPr>
      <w:sz w:val="18"/>
      <w:szCs w:val="18"/>
    </w:rPr>
  </w:style>
  <w:style w:type="paragraph" w:styleId="5">
    <w:name w:val="footer"/>
    <w:basedOn w:val="1"/>
    <w:link w:val="16"/>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 w:type="paragraph" w:customStyle="1" w:styleId="14">
    <w:name w:val="列出段落1"/>
    <w:basedOn w:val="1"/>
    <w:qFormat/>
    <w:uiPriority w:val="0"/>
    <w:pPr>
      <w:widowControl/>
      <w:spacing w:before="100" w:beforeAutospacing="1" w:after="100" w:afterAutospacing="1"/>
      <w:ind w:left="720"/>
      <w:jc w:val="left"/>
    </w:pPr>
    <w:rPr>
      <w:rFonts w:ascii="Arial Unicode MS" w:hAnsi="Arial Unicode MS" w:eastAsia="华文仿宋" w:cs="宋体"/>
      <w:color w:val="000000"/>
      <w:kern w:val="0"/>
      <w:sz w:val="28"/>
      <w:szCs w:val="28"/>
    </w:rPr>
  </w:style>
  <w:style w:type="paragraph" w:customStyle="1" w:styleId="15">
    <w:name w:val="List Paragraph"/>
    <w:basedOn w:val="1"/>
    <w:qFormat/>
    <w:uiPriority w:val="34"/>
    <w:pPr>
      <w:widowControl/>
      <w:spacing w:before="100" w:beforeAutospacing="1" w:after="100" w:afterAutospacing="1"/>
      <w:jc w:val="left"/>
    </w:pPr>
    <w:rPr>
      <w:rFonts w:ascii="宋体" w:hAnsi="宋体" w:eastAsia="宋体" w:cs="宋体"/>
      <w:kern w:val="0"/>
      <w:sz w:val="24"/>
    </w:rPr>
  </w:style>
  <w:style w:type="character" w:customStyle="1" w:styleId="16">
    <w:name w:val="页脚 字符"/>
    <w:basedOn w:val="9"/>
    <w:link w:val="5"/>
    <w:qFormat/>
    <w:uiPriority w:val="99"/>
    <w:rPr>
      <w:rFonts w:asciiTheme="minorHAnsi" w:hAnsiTheme="minorHAnsi" w:eastAsiaTheme="minorEastAsia" w:cstheme="minorBidi"/>
      <w:kern w:val="2"/>
      <w:sz w:val="18"/>
      <w:szCs w:val="24"/>
    </w:rPr>
  </w:style>
  <w:style w:type="paragraph" w:customStyle="1" w:styleId="17">
    <w:name w:val="p"/>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D71B9C-9B00-4DC2-AB57-70CE24682964}">
  <ds:schemaRefs/>
</ds:datastoreItem>
</file>

<file path=docProps/app.xml><?xml version="1.0" encoding="utf-8"?>
<Properties xmlns="http://schemas.openxmlformats.org/officeDocument/2006/extended-properties" xmlns:vt="http://schemas.openxmlformats.org/officeDocument/2006/docPropsVTypes">
  <Template>Normal</Template>
  <Pages>9</Pages>
  <Words>925</Words>
  <Characters>5274</Characters>
  <Lines>43</Lines>
  <Paragraphs>12</Paragraphs>
  <TotalTime>11</TotalTime>
  <ScaleCrop>false</ScaleCrop>
  <LinksUpToDate>false</LinksUpToDate>
  <CharactersWithSpaces>6187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2018-07-27T03:26:00Z</dcterms:created>
  <dc:creator>黑脸大侠</dc:creator>
  <cp:lastModifiedBy>致仪科技郑秀凤</cp:lastModifiedBy>
  <cp:lastPrinted>2018-06-25T10:03:00Z</cp:lastPrinted>
  <dcterms:modified xsi:type="dcterms:W3CDTF">2020-04-16T06:09:45Z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KSORubyTemplateID" linkTarget="0">
    <vt:lpwstr>6</vt:lpwstr>
  </property>
</Properties>
</file>